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B72" w:rsidRDefault="008F0B72" w:rsidP="001C6BD0">
      <w:pPr>
        <w:spacing w:line="480" w:lineRule="auto"/>
        <w:jc w:val="center"/>
        <w:rPr>
          <w:rFonts w:ascii="Times New Roman" w:hAnsi="Times New Roman" w:cs="Times New Roman"/>
          <w:sz w:val="24"/>
          <w:szCs w:val="24"/>
        </w:rPr>
      </w:pPr>
    </w:p>
    <w:p w:rsidR="008F0B72" w:rsidRDefault="008F0B72" w:rsidP="001C6BD0">
      <w:pPr>
        <w:spacing w:line="480" w:lineRule="auto"/>
        <w:jc w:val="center"/>
        <w:rPr>
          <w:rFonts w:ascii="Times New Roman" w:hAnsi="Times New Roman" w:cs="Times New Roman"/>
          <w:sz w:val="24"/>
          <w:szCs w:val="24"/>
        </w:rPr>
      </w:pPr>
    </w:p>
    <w:p w:rsidR="008F0B72" w:rsidRDefault="008F0B72" w:rsidP="001C6BD0">
      <w:pPr>
        <w:spacing w:line="480" w:lineRule="auto"/>
        <w:jc w:val="center"/>
        <w:rPr>
          <w:rFonts w:ascii="Times New Roman" w:hAnsi="Times New Roman" w:cs="Times New Roman"/>
          <w:sz w:val="24"/>
          <w:szCs w:val="24"/>
        </w:rPr>
      </w:pPr>
    </w:p>
    <w:p w:rsidR="008F0B72" w:rsidRDefault="008F0B72" w:rsidP="001C6BD0">
      <w:pPr>
        <w:spacing w:line="480" w:lineRule="auto"/>
        <w:jc w:val="center"/>
        <w:rPr>
          <w:rFonts w:ascii="Times New Roman" w:hAnsi="Times New Roman" w:cs="Times New Roman"/>
          <w:sz w:val="24"/>
          <w:szCs w:val="24"/>
        </w:rPr>
      </w:pPr>
    </w:p>
    <w:p w:rsidR="008F0B72" w:rsidRDefault="008F0B72" w:rsidP="001C6BD0">
      <w:pPr>
        <w:spacing w:line="480" w:lineRule="auto"/>
        <w:jc w:val="center"/>
        <w:rPr>
          <w:rFonts w:ascii="Times New Roman" w:hAnsi="Times New Roman" w:cs="Times New Roman"/>
          <w:sz w:val="24"/>
          <w:szCs w:val="24"/>
        </w:rPr>
      </w:pPr>
    </w:p>
    <w:p w:rsidR="008F0B72" w:rsidRDefault="008F0B72" w:rsidP="001C6BD0">
      <w:pPr>
        <w:spacing w:line="480" w:lineRule="auto"/>
        <w:jc w:val="center"/>
        <w:rPr>
          <w:rFonts w:ascii="Times New Roman" w:hAnsi="Times New Roman" w:cs="Times New Roman"/>
          <w:sz w:val="24"/>
          <w:szCs w:val="24"/>
        </w:rPr>
      </w:pPr>
    </w:p>
    <w:p w:rsidR="008F0B72" w:rsidRDefault="008F0B72" w:rsidP="001C6BD0">
      <w:pPr>
        <w:spacing w:line="480" w:lineRule="auto"/>
        <w:jc w:val="center"/>
        <w:rPr>
          <w:rFonts w:ascii="Times New Roman" w:hAnsi="Times New Roman" w:cs="Times New Roman"/>
          <w:sz w:val="24"/>
          <w:szCs w:val="24"/>
        </w:rPr>
      </w:pPr>
    </w:p>
    <w:p w:rsidR="002E7761" w:rsidRDefault="00AD6A33" w:rsidP="002A5F83">
      <w:pPr>
        <w:spacing w:after="0" w:line="480" w:lineRule="auto"/>
        <w:contextualSpacing/>
        <w:jc w:val="center"/>
        <w:rPr>
          <w:rFonts w:ascii="Times New Roman" w:hAnsi="Times New Roman" w:cs="Times New Roman"/>
          <w:sz w:val="24"/>
          <w:szCs w:val="24"/>
        </w:rPr>
      </w:pPr>
      <w:r w:rsidRPr="008F0B72">
        <w:rPr>
          <w:rFonts w:ascii="Times New Roman" w:hAnsi="Times New Roman" w:cs="Times New Roman"/>
          <w:sz w:val="24"/>
          <w:szCs w:val="24"/>
        </w:rPr>
        <w:t>Reflection Paper</w:t>
      </w:r>
    </w:p>
    <w:p w:rsidR="008F0B72" w:rsidRDefault="002A5F83" w:rsidP="002A5F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sidR="00AD6A33">
        <w:rPr>
          <w:rFonts w:ascii="Times New Roman" w:hAnsi="Times New Roman" w:cs="Times New Roman"/>
          <w:sz w:val="24"/>
          <w:szCs w:val="24"/>
        </w:rPr>
        <w:t>:</w:t>
      </w:r>
    </w:p>
    <w:p w:rsidR="008F0B72" w:rsidRDefault="00AD6A33" w:rsidP="002A5F8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F0B72" w:rsidRDefault="00AD6A33" w:rsidP="001C6BD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A5F83" w:rsidRPr="002A5F83" w:rsidRDefault="002A5F83" w:rsidP="002A5F83">
      <w:pPr>
        <w:pStyle w:val="Header"/>
        <w:tabs>
          <w:tab w:val="clear" w:pos="9360"/>
          <w:tab w:val="left" w:pos="6000"/>
        </w:tabs>
        <w:spacing w:line="480" w:lineRule="auto"/>
        <w:contextualSpacing/>
        <w:jc w:val="center"/>
        <w:rPr>
          <w:rFonts w:ascii="Times New Roman" w:hAnsi="Times New Roman" w:cs="Times New Roman"/>
          <w:sz w:val="24"/>
          <w:szCs w:val="24"/>
        </w:rPr>
      </w:pPr>
      <w:r w:rsidRPr="002A5F83">
        <w:rPr>
          <w:rFonts w:ascii="Times New Roman" w:hAnsi="Times New Roman" w:cs="Times New Roman"/>
          <w:sz w:val="24"/>
          <w:szCs w:val="24"/>
        </w:rPr>
        <w:lastRenderedPageBreak/>
        <w:t xml:space="preserve">Policy Entrepreneurship and Multi-Level Governance Reflection    </w:t>
      </w:r>
    </w:p>
    <w:p w:rsidR="00A920A2" w:rsidRPr="002A5F83" w:rsidRDefault="00AD6A33" w:rsidP="002A5F83">
      <w:pPr>
        <w:pStyle w:val="Header"/>
        <w:tabs>
          <w:tab w:val="clear" w:pos="9360"/>
          <w:tab w:val="left" w:pos="6000"/>
        </w:tabs>
        <w:spacing w:line="480" w:lineRule="auto"/>
        <w:contextualSpacing/>
        <w:jc w:val="center"/>
        <w:rPr>
          <w:rFonts w:ascii="Times New Roman" w:hAnsi="Times New Roman" w:cs="Times New Roman"/>
          <w:sz w:val="24"/>
          <w:szCs w:val="24"/>
        </w:rPr>
      </w:pPr>
      <w:r w:rsidRPr="002A5F83">
        <w:rPr>
          <w:rFonts w:ascii="Times New Roman" w:hAnsi="Times New Roman" w:cs="Times New Roman"/>
          <w:b/>
          <w:sz w:val="24"/>
          <w:szCs w:val="24"/>
        </w:rPr>
        <w:t>Introduction</w:t>
      </w:r>
    </w:p>
    <w:p w:rsidR="00617DD5" w:rsidRPr="002A5F83" w:rsidRDefault="00AD6A33" w:rsidP="002A5F83">
      <w:pPr>
        <w:spacing w:after="0" w:line="480" w:lineRule="auto"/>
        <w:ind w:firstLine="720"/>
        <w:contextualSpacing/>
        <w:rPr>
          <w:rFonts w:ascii="Times New Roman" w:hAnsi="Times New Roman" w:cs="Times New Roman"/>
          <w:sz w:val="24"/>
          <w:szCs w:val="24"/>
        </w:rPr>
      </w:pPr>
      <w:proofErr w:type="spellStart"/>
      <w:r w:rsidRPr="002A5F83">
        <w:rPr>
          <w:rFonts w:ascii="Times New Roman" w:hAnsi="Times New Roman" w:cs="Times New Roman"/>
          <w:sz w:val="24"/>
          <w:szCs w:val="24"/>
        </w:rPr>
        <w:t>Euroregions</w:t>
      </w:r>
      <w:proofErr w:type="spellEnd"/>
      <w:r w:rsidRPr="002A5F83">
        <w:rPr>
          <w:rFonts w:ascii="Times New Roman" w:hAnsi="Times New Roman" w:cs="Times New Roman"/>
          <w:sz w:val="24"/>
          <w:szCs w:val="24"/>
        </w:rPr>
        <w:t xml:space="preserve"> have been a topic of discussion and an emerging controversy on their legitimate cross-border collaborative projects</w:t>
      </w:r>
      <w:r w:rsidR="002B1C6E" w:rsidRPr="002A5F83">
        <w:rPr>
          <w:rFonts w:ascii="Times New Roman" w:hAnsi="Times New Roman" w:cs="Times New Roman"/>
          <w:sz w:val="24"/>
          <w:szCs w:val="24"/>
        </w:rPr>
        <w:t>, along with European borders</w:t>
      </w:r>
      <w:r w:rsidRPr="002A5F83">
        <w:rPr>
          <w:rFonts w:ascii="Times New Roman" w:hAnsi="Times New Roman" w:cs="Times New Roman"/>
          <w:sz w:val="24"/>
          <w:szCs w:val="24"/>
        </w:rPr>
        <w:t xml:space="preserve"> for the past years since World War II. By definition, </w:t>
      </w:r>
      <w:proofErr w:type="spellStart"/>
      <w:r w:rsidRPr="002A5F83">
        <w:rPr>
          <w:rFonts w:ascii="Times New Roman" w:hAnsi="Times New Roman" w:cs="Times New Roman"/>
          <w:sz w:val="24"/>
          <w:szCs w:val="24"/>
        </w:rPr>
        <w:t>Euroregions</w:t>
      </w:r>
      <w:proofErr w:type="spellEnd"/>
      <w:r w:rsidRPr="002A5F83">
        <w:rPr>
          <w:rFonts w:ascii="Times New Roman" w:hAnsi="Times New Roman" w:cs="Times New Roman"/>
          <w:sz w:val="24"/>
          <w:szCs w:val="24"/>
        </w:rPr>
        <w:t xml:space="preserve"> are </w:t>
      </w:r>
      <w:r w:rsidR="001C6BD0" w:rsidRPr="002A5F83">
        <w:rPr>
          <w:rFonts w:ascii="Times New Roman" w:hAnsi="Times New Roman" w:cs="Times New Roman"/>
          <w:sz w:val="24"/>
          <w:szCs w:val="24"/>
        </w:rPr>
        <w:t xml:space="preserve">entrepreneurial </w:t>
      </w:r>
      <w:r w:rsidRPr="002A5F83">
        <w:rPr>
          <w:rFonts w:ascii="Times New Roman" w:hAnsi="Times New Roman" w:cs="Times New Roman"/>
          <w:sz w:val="24"/>
          <w:szCs w:val="24"/>
        </w:rPr>
        <w:t xml:space="preserve">groups of attached public authorities within one or more state borders. The making of </w:t>
      </w:r>
      <w:r w:rsidR="002A5F83" w:rsidRPr="002A5F83">
        <w:rPr>
          <w:rFonts w:ascii="Times New Roman" w:hAnsi="Times New Roman" w:cs="Times New Roman"/>
          <w:sz w:val="24"/>
          <w:szCs w:val="24"/>
        </w:rPr>
        <w:t>this</w:t>
      </w:r>
      <w:r w:rsidRPr="002A5F83">
        <w:rPr>
          <w:rFonts w:ascii="Times New Roman" w:hAnsi="Times New Roman" w:cs="Times New Roman"/>
          <w:sz w:val="24"/>
          <w:szCs w:val="24"/>
        </w:rPr>
        <w:t xml:space="preserve"> </w:t>
      </w:r>
      <w:r w:rsidR="002A5F83" w:rsidRPr="002A5F83">
        <w:rPr>
          <w:rFonts w:ascii="Times New Roman" w:hAnsi="Times New Roman" w:cs="Times New Roman"/>
          <w:sz w:val="24"/>
          <w:szCs w:val="24"/>
        </w:rPr>
        <w:t>micro-CBR</w:t>
      </w:r>
      <w:r w:rsidRPr="002A5F83">
        <w:rPr>
          <w:rFonts w:ascii="Times New Roman" w:hAnsi="Times New Roman" w:cs="Times New Roman"/>
          <w:sz w:val="24"/>
          <w:szCs w:val="24"/>
        </w:rPr>
        <w:t xml:space="preserve"> has resulted into development of new scales and territories that are </w:t>
      </w:r>
      <w:r w:rsidR="001C6BD0" w:rsidRPr="002A5F83">
        <w:rPr>
          <w:rFonts w:ascii="Times New Roman" w:hAnsi="Times New Roman" w:cs="Times New Roman"/>
          <w:sz w:val="24"/>
          <w:szCs w:val="24"/>
        </w:rPr>
        <w:t>tainted</w:t>
      </w:r>
      <w:r w:rsidRPr="002A5F83">
        <w:rPr>
          <w:rFonts w:ascii="Times New Roman" w:hAnsi="Times New Roman" w:cs="Times New Roman"/>
          <w:sz w:val="24"/>
          <w:szCs w:val="24"/>
        </w:rPr>
        <w:t xml:space="preserve"> by joy-riders in the name of entrepreneurship. Such factors have influenced difficulties in conduction investigations and providing a clear stand for genuine CBR</w:t>
      </w:r>
      <w:r w:rsidR="001C6BD0" w:rsidRPr="002A5F83">
        <w:rPr>
          <w:rFonts w:ascii="Times New Roman" w:hAnsi="Times New Roman" w:cs="Times New Roman"/>
          <w:sz w:val="24"/>
          <w:szCs w:val="24"/>
        </w:rPr>
        <w:t xml:space="preserve"> groups</w:t>
      </w:r>
      <w:r w:rsidRPr="002A5F83">
        <w:rPr>
          <w:rFonts w:ascii="Times New Roman" w:hAnsi="Times New Roman" w:cs="Times New Roman"/>
          <w:sz w:val="24"/>
          <w:szCs w:val="24"/>
        </w:rPr>
        <w:t>.</w:t>
      </w:r>
    </w:p>
    <w:p w:rsidR="00A920A2" w:rsidRPr="002A5F83" w:rsidRDefault="00AD6A33" w:rsidP="002A5F83">
      <w:pPr>
        <w:spacing w:after="0" w:line="480" w:lineRule="auto"/>
        <w:contextualSpacing/>
        <w:jc w:val="center"/>
        <w:rPr>
          <w:rFonts w:ascii="Times New Roman" w:hAnsi="Times New Roman" w:cs="Times New Roman"/>
          <w:b/>
          <w:sz w:val="24"/>
          <w:szCs w:val="24"/>
        </w:rPr>
      </w:pPr>
      <w:r w:rsidRPr="002A5F83">
        <w:rPr>
          <w:rFonts w:ascii="Times New Roman" w:hAnsi="Times New Roman" w:cs="Times New Roman"/>
          <w:b/>
          <w:sz w:val="24"/>
          <w:szCs w:val="24"/>
        </w:rPr>
        <w:t>Objectives</w:t>
      </w:r>
    </w:p>
    <w:p w:rsidR="00A42991"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 xml:space="preserve"> The article analysis reflects on </w:t>
      </w:r>
      <w:r w:rsidR="002B1C6E" w:rsidRPr="002A5F83">
        <w:rPr>
          <w:rFonts w:ascii="Times New Roman" w:hAnsi="Times New Roman" w:cs="Times New Roman"/>
          <w:sz w:val="24"/>
          <w:szCs w:val="24"/>
        </w:rPr>
        <w:t xml:space="preserve">two main objectives, first is their variation across different cases of </w:t>
      </w:r>
      <w:proofErr w:type="spellStart"/>
      <w:r w:rsidR="002B1C6E" w:rsidRPr="002A5F83">
        <w:rPr>
          <w:rFonts w:ascii="Times New Roman" w:hAnsi="Times New Roman" w:cs="Times New Roman"/>
          <w:sz w:val="24"/>
          <w:szCs w:val="24"/>
        </w:rPr>
        <w:t>Euroregions</w:t>
      </w:r>
      <w:proofErr w:type="spellEnd"/>
      <w:r w:rsidR="002B1C6E" w:rsidRPr="002A5F83">
        <w:rPr>
          <w:rFonts w:ascii="Times New Roman" w:hAnsi="Times New Roman" w:cs="Times New Roman"/>
          <w:sz w:val="24"/>
          <w:szCs w:val="24"/>
        </w:rPr>
        <w:t xml:space="preserve"> and how they</w:t>
      </w:r>
      <w:r w:rsidR="001C6BD0" w:rsidRPr="002A5F83">
        <w:rPr>
          <w:rFonts w:ascii="Times New Roman" w:hAnsi="Times New Roman" w:cs="Times New Roman"/>
          <w:sz w:val="24"/>
          <w:szCs w:val="24"/>
        </w:rPr>
        <w:t xml:space="preserve"> have</w:t>
      </w:r>
      <w:r w:rsidR="002B1C6E" w:rsidRPr="002A5F83">
        <w:rPr>
          <w:rFonts w:ascii="Times New Roman" w:hAnsi="Times New Roman" w:cs="Times New Roman"/>
          <w:sz w:val="24"/>
          <w:szCs w:val="24"/>
        </w:rPr>
        <w:t xml:space="preserve"> prove</w:t>
      </w:r>
      <w:r w:rsidR="001C6BD0" w:rsidRPr="002A5F83">
        <w:rPr>
          <w:rFonts w:ascii="Times New Roman" w:hAnsi="Times New Roman" w:cs="Times New Roman"/>
          <w:sz w:val="24"/>
          <w:szCs w:val="24"/>
        </w:rPr>
        <w:t>n</w:t>
      </w:r>
      <w:r w:rsidR="002B1C6E" w:rsidRPr="002A5F83">
        <w:rPr>
          <w:rFonts w:ascii="Times New Roman" w:hAnsi="Times New Roman" w:cs="Times New Roman"/>
          <w:sz w:val="24"/>
          <w:szCs w:val="24"/>
        </w:rPr>
        <w:t xml:space="preserve"> themselves as independent organizational actors, using the concept of policy entrepreneurship. Secondly, the focus </w:t>
      </w:r>
      <w:r w:rsidR="00617DD5" w:rsidRPr="002A5F83">
        <w:rPr>
          <w:rFonts w:ascii="Times New Roman" w:hAnsi="Times New Roman" w:cs="Times New Roman"/>
          <w:sz w:val="24"/>
          <w:szCs w:val="24"/>
        </w:rPr>
        <w:t>is</w:t>
      </w:r>
      <w:r w:rsidR="002B1C6E" w:rsidRPr="002A5F83">
        <w:rPr>
          <w:rFonts w:ascii="Times New Roman" w:hAnsi="Times New Roman" w:cs="Times New Roman"/>
          <w:sz w:val="24"/>
          <w:szCs w:val="24"/>
        </w:rPr>
        <w:t xml:space="preserve"> on how the established circumstances across diverse countries ease such an </w:t>
      </w:r>
      <w:r w:rsidR="00617DD5" w:rsidRPr="002A5F83">
        <w:rPr>
          <w:rFonts w:ascii="Times New Roman" w:hAnsi="Times New Roman" w:cs="Times New Roman"/>
          <w:sz w:val="24"/>
          <w:szCs w:val="24"/>
        </w:rPr>
        <w:t>organizational</w:t>
      </w:r>
      <w:r w:rsidR="002B1C6E" w:rsidRPr="002A5F83">
        <w:rPr>
          <w:rFonts w:ascii="Times New Roman" w:hAnsi="Times New Roman" w:cs="Times New Roman"/>
          <w:sz w:val="24"/>
          <w:szCs w:val="24"/>
        </w:rPr>
        <w:t xml:space="preserve"> liberation of </w:t>
      </w:r>
      <w:proofErr w:type="spellStart"/>
      <w:r w:rsidR="002B1C6E" w:rsidRPr="002A5F83">
        <w:rPr>
          <w:rFonts w:ascii="Times New Roman" w:hAnsi="Times New Roman" w:cs="Times New Roman"/>
          <w:sz w:val="24"/>
          <w:szCs w:val="24"/>
        </w:rPr>
        <w:t>Euroregions</w:t>
      </w:r>
      <w:proofErr w:type="spellEnd"/>
      <w:r w:rsidR="00617DD5" w:rsidRPr="002A5F83">
        <w:rPr>
          <w:rFonts w:ascii="Times New Roman" w:hAnsi="Times New Roman" w:cs="Times New Roman"/>
          <w:sz w:val="24"/>
          <w:szCs w:val="24"/>
        </w:rPr>
        <w:t xml:space="preserve">, fueled by factors behind the uneven development of local cross-border relationships across the European Union. </w:t>
      </w:r>
    </w:p>
    <w:p w:rsidR="00A920A2" w:rsidRPr="002A5F83" w:rsidRDefault="00AD6A33" w:rsidP="002A5F83">
      <w:pPr>
        <w:spacing w:after="0" w:line="480" w:lineRule="auto"/>
        <w:contextualSpacing/>
        <w:jc w:val="center"/>
        <w:rPr>
          <w:rFonts w:ascii="Times New Roman" w:hAnsi="Times New Roman" w:cs="Times New Roman"/>
          <w:b/>
          <w:sz w:val="24"/>
          <w:szCs w:val="24"/>
        </w:rPr>
      </w:pPr>
      <w:r w:rsidRPr="002A5F83">
        <w:rPr>
          <w:rFonts w:ascii="Times New Roman" w:hAnsi="Times New Roman" w:cs="Times New Roman"/>
          <w:b/>
          <w:sz w:val="24"/>
          <w:szCs w:val="24"/>
        </w:rPr>
        <w:t>Arguments</w:t>
      </w:r>
    </w:p>
    <w:p w:rsidR="00A42991"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 xml:space="preserve">The argument endorsed by the author is that the proliferation of </w:t>
      </w:r>
      <w:r w:rsidR="002A5F83" w:rsidRPr="002A5F83">
        <w:rPr>
          <w:rFonts w:ascii="Times New Roman" w:hAnsi="Times New Roman" w:cs="Times New Roman"/>
          <w:sz w:val="24"/>
          <w:szCs w:val="24"/>
        </w:rPr>
        <w:t>these groups</w:t>
      </w:r>
      <w:r w:rsidRPr="002A5F83">
        <w:rPr>
          <w:rFonts w:ascii="Times New Roman" w:hAnsi="Times New Roman" w:cs="Times New Roman"/>
          <w:sz w:val="24"/>
          <w:szCs w:val="24"/>
        </w:rPr>
        <w:t xml:space="preserve"> as entrepreneurial fashions is as a result of collaborative yet opportunistic circumstances. The author elaborates that the circumstances are in one way or another associated with market-</w:t>
      </w:r>
      <w:r w:rsidR="001C6BD0" w:rsidRPr="002A5F83">
        <w:rPr>
          <w:rFonts w:ascii="Times New Roman" w:hAnsi="Times New Roman" w:cs="Times New Roman"/>
          <w:sz w:val="24"/>
          <w:szCs w:val="24"/>
        </w:rPr>
        <w:t>driven</w:t>
      </w:r>
      <w:r w:rsidRPr="002A5F83">
        <w:rPr>
          <w:rFonts w:ascii="Times New Roman" w:hAnsi="Times New Roman" w:cs="Times New Roman"/>
          <w:sz w:val="24"/>
          <w:szCs w:val="24"/>
        </w:rPr>
        <w:t xml:space="preserve"> integration which is characterized by the strong cross-border activity, and policy-driven integrations, influenced by failures of central state authorities. The circumstances are thereafter </w:t>
      </w:r>
      <w:r w:rsidRPr="002A5F83">
        <w:rPr>
          <w:rFonts w:ascii="Times New Roman" w:hAnsi="Times New Roman" w:cs="Times New Roman"/>
          <w:sz w:val="24"/>
          <w:szCs w:val="24"/>
        </w:rPr>
        <w:lastRenderedPageBreak/>
        <w:t xml:space="preserve">compared independently on different </w:t>
      </w:r>
      <w:proofErr w:type="spellStart"/>
      <w:r w:rsidRPr="002A5F83">
        <w:rPr>
          <w:rFonts w:ascii="Times New Roman" w:hAnsi="Times New Roman" w:cs="Times New Roman"/>
          <w:sz w:val="24"/>
          <w:szCs w:val="24"/>
        </w:rPr>
        <w:t>Euroregions</w:t>
      </w:r>
      <w:proofErr w:type="spellEnd"/>
      <w:r w:rsidRPr="002A5F83">
        <w:rPr>
          <w:rFonts w:ascii="Times New Roman" w:hAnsi="Times New Roman" w:cs="Times New Roman"/>
          <w:sz w:val="24"/>
          <w:szCs w:val="24"/>
        </w:rPr>
        <w:t xml:space="preserve"> e.g. the EUREGIO, the </w:t>
      </w:r>
      <w:proofErr w:type="spellStart"/>
      <w:r w:rsidRPr="002A5F83">
        <w:rPr>
          <w:rFonts w:ascii="Times New Roman" w:hAnsi="Times New Roman" w:cs="Times New Roman"/>
          <w:sz w:val="24"/>
          <w:szCs w:val="24"/>
        </w:rPr>
        <w:t>Viadrina</w:t>
      </w:r>
      <w:proofErr w:type="spellEnd"/>
      <w:r w:rsidRPr="002A5F83">
        <w:rPr>
          <w:rFonts w:ascii="Times New Roman" w:hAnsi="Times New Roman" w:cs="Times New Roman"/>
          <w:sz w:val="24"/>
          <w:szCs w:val="24"/>
        </w:rPr>
        <w:t xml:space="preserve"> and the Tyrol as an overview technique of supporting the thesis statement, (</w:t>
      </w:r>
      <w:proofErr w:type="spellStart"/>
      <w:r w:rsidRPr="002A5F83">
        <w:rPr>
          <w:rFonts w:ascii="Times New Roman" w:hAnsi="Times New Roman" w:cs="Times New Roman"/>
          <w:sz w:val="24"/>
          <w:szCs w:val="24"/>
        </w:rPr>
        <w:t>Perkmann</w:t>
      </w:r>
      <w:proofErr w:type="spellEnd"/>
      <w:r w:rsidRPr="002A5F83">
        <w:rPr>
          <w:rFonts w:ascii="Times New Roman" w:hAnsi="Times New Roman" w:cs="Times New Roman"/>
          <w:sz w:val="24"/>
          <w:szCs w:val="24"/>
        </w:rPr>
        <w:t>, 2007).</w:t>
      </w:r>
    </w:p>
    <w:p w:rsidR="00A920A2" w:rsidRPr="002A5F83" w:rsidRDefault="00AD6A33" w:rsidP="002A5F83">
      <w:pPr>
        <w:spacing w:after="0" w:line="480" w:lineRule="auto"/>
        <w:contextualSpacing/>
        <w:jc w:val="center"/>
        <w:rPr>
          <w:rFonts w:ascii="Times New Roman" w:hAnsi="Times New Roman" w:cs="Times New Roman"/>
          <w:b/>
          <w:sz w:val="24"/>
          <w:szCs w:val="24"/>
        </w:rPr>
      </w:pPr>
      <w:r w:rsidRPr="002A5F83">
        <w:rPr>
          <w:rFonts w:ascii="Times New Roman" w:hAnsi="Times New Roman" w:cs="Times New Roman"/>
          <w:b/>
          <w:sz w:val="24"/>
          <w:szCs w:val="24"/>
        </w:rPr>
        <w:t>Evidence Used</w:t>
      </w:r>
    </w:p>
    <w:p w:rsidR="008F0B72"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 xml:space="preserve">Narrowing down to specifics, the author uses </w:t>
      </w:r>
      <w:r w:rsidR="001C6BD0" w:rsidRPr="002A5F83">
        <w:rPr>
          <w:rFonts w:ascii="Times New Roman" w:hAnsi="Times New Roman" w:cs="Times New Roman"/>
          <w:sz w:val="24"/>
          <w:szCs w:val="24"/>
        </w:rPr>
        <w:t xml:space="preserve">policy entrepreneurship as a </w:t>
      </w:r>
      <w:r w:rsidRPr="002A5F83">
        <w:rPr>
          <w:rFonts w:ascii="Times New Roman" w:hAnsi="Times New Roman" w:cs="Times New Roman"/>
          <w:sz w:val="24"/>
          <w:szCs w:val="24"/>
        </w:rPr>
        <w:t xml:space="preserve">discriminative </w:t>
      </w:r>
      <w:r w:rsidR="001C6BD0" w:rsidRPr="002A5F83">
        <w:rPr>
          <w:rFonts w:ascii="Times New Roman" w:hAnsi="Times New Roman" w:cs="Times New Roman"/>
          <w:sz w:val="24"/>
          <w:szCs w:val="24"/>
        </w:rPr>
        <w:t xml:space="preserve">framework </w:t>
      </w:r>
      <w:r w:rsidRPr="002A5F83">
        <w:rPr>
          <w:rFonts w:ascii="Times New Roman" w:hAnsi="Times New Roman" w:cs="Times New Roman"/>
          <w:sz w:val="24"/>
          <w:szCs w:val="24"/>
        </w:rPr>
        <w:t>of</w:t>
      </w:r>
      <w:r w:rsidR="001C6BD0" w:rsidRPr="002A5F83">
        <w:rPr>
          <w:rFonts w:ascii="Times New Roman" w:hAnsi="Times New Roman" w:cs="Times New Roman"/>
          <w:sz w:val="24"/>
          <w:szCs w:val="24"/>
        </w:rPr>
        <w:t xml:space="preserve"> analysis</w:t>
      </w:r>
      <w:r w:rsidRPr="002A5F83">
        <w:rPr>
          <w:rFonts w:ascii="Times New Roman" w:hAnsi="Times New Roman" w:cs="Times New Roman"/>
          <w:sz w:val="24"/>
          <w:szCs w:val="24"/>
        </w:rPr>
        <w:t>,</w:t>
      </w:r>
      <w:r w:rsidR="001C6BD0" w:rsidRPr="002A5F83">
        <w:rPr>
          <w:rFonts w:ascii="Times New Roman" w:hAnsi="Times New Roman" w:cs="Times New Roman"/>
          <w:sz w:val="24"/>
          <w:szCs w:val="24"/>
        </w:rPr>
        <w:t xml:space="preserve"> </w:t>
      </w:r>
      <w:r w:rsidRPr="002A5F83">
        <w:rPr>
          <w:rFonts w:ascii="Times New Roman" w:hAnsi="Times New Roman" w:cs="Times New Roman"/>
          <w:sz w:val="24"/>
          <w:szCs w:val="24"/>
        </w:rPr>
        <w:t>that would differentiate between genuine and the instrumental collaborations right from the start. Policy entrepreneurship has been applied as a concept of understanding the development of policy societies in perspectives of comparative sincerity that define the operation of European cross-border regions, (March and Olsen 1984).</w:t>
      </w:r>
      <w:r w:rsidR="00EE5C2D" w:rsidRPr="002A5F83">
        <w:rPr>
          <w:rFonts w:ascii="Times New Roman" w:hAnsi="Times New Roman" w:cs="Times New Roman"/>
          <w:sz w:val="24"/>
          <w:szCs w:val="24"/>
        </w:rPr>
        <w:t xml:space="preserve"> Some of the organizations are within the carpet of CBR not just for the resource base expansion but for other selfish motives. </w:t>
      </w:r>
    </w:p>
    <w:p w:rsidR="00A920A2"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 xml:space="preserve">Another technique on board is </w:t>
      </w:r>
      <w:r w:rsidR="00AA101D" w:rsidRPr="002A5F83">
        <w:rPr>
          <w:rFonts w:ascii="Times New Roman" w:hAnsi="Times New Roman" w:cs="Times New Roman"/>
          <w:sz w:val="24"/>
          <w:szCs w:val="24"/>
        </w:rPr>
        <w:t xml:space="preserve">how the </w:t>
      </w:r>
      <w:proofErr w:type="spellStart"/>
      <w:r w:rsidR="00AA101D" w:rsidRPr="002A5F83">
        <w:rPr>
          <w:rFonts w:ascii="Times New Roman" w:hAnsi="Times New Roman" w:cs="Times New Roman"/>
          <w:sz w:val="24"/>
          <w:szCs w:val="24"/>
        </w:rPr>
        <w:t>Euroregions</w:t>
      </w:r>
      <w:proofErr w:type="spellEnd"/>
      <w:r w:rsidR="00AA101D" w:rsidRPr="002A5F83">
        <w:rPr>
          <w:rFonts w:ascii="Times New Roman" w:hAnsi="Times New Roman" w:cs="Times New Roman"/>
          <w:sz w:val="24"/>
          <w:szCs w:val="24"/>
        </w:rPr>
        <w:t xml:space="preserve"> can be distinguished by the organizations build up. This means there has to be </w:t>
      </w:r>
      <w:r w:rsidR="002A5F83" w:rsidRPr="002A5F83">
        <w:rPr>
          <w:rFonts w:ascii="Times New Roman" w:hAnsi="Times New Roman" w:cs="Times New Roman"/>
          <w:sz w:val="24"/>
          <w:szCs w:val="24"/>
        </w:rPr>
        <w:t>compelling</w:t>
      </w:r>
      <w:r w:rsidR="00AA101D" w:rsidRPr="002A5F83">
        <w:rPr>
          <w:rFonts w:ascii="Times New Roman" w:hAnsi="Times New Roman" w:cs="Times New Roman"/>
          <w:sz w:val="24"/>
          <w:szCs w:val="24"/>
        </w:rPr>
        <w:t xml:space="preserve"> evidence on the engagements between the subject organization and authoritative parties from both borders. The possible categories from this technique define whether organizations cooperate arrangement is relatively independent or a ‘committee cooperation’. </w:t>
      </w:r>
    </w:p>
    <w:p w:rsidR="00203719"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The importance of this definition is meant to ease decision making on EU funds distribution policies. Here many organizations are thought to take advantage of The EU being an atypical policy maker</w:t>
      </w:r>
      <w:r w:rsidR="00DC2029" w:rsidRPr="002A5F83">
        <w:rPr>
          <w:rFonts w:ascii="Times New Roman" w:hAnsi="Times New Roman" w:cs="Times New Roman"/>
          <w:sz w:val="24"/>
          <w:szCs w:val="24"/>
        </w:rPr>
        <w:t>,</w:t>
      </w:r>
      <w:r w:rsidRPr="002A5F83">
        <w:rPr>
          <w:rFonts w:ascii="Times New Roman" w:hAnsi="Times New Roman" w:cs="Times New Roman"/>
          <w:sz w:val="24"/>
          <w:szCs w:val="24"/>
        </w:rPr>
        <w:t xml:space="preserve"> in that it has no implementation agency. It relies on the member states and their subordinate authorities to execute policy. This </w:t>
      </w:r>
      <w:r w:rsidR="00DC2029" w:rsidRPr="002A5F83">
        <w:rPr>
          <w:rFonts w:ascii="Times New Roman" w:hAnsi="Times New Roman" w:cs="Times New Roman"/>
          <w:sz w:val="24"/>
          <w:szCs w:val="24"/>
        </w:rPr>
        <w:t xml:space="preserve">has </w:t>
      </w:r>
      <w:r w:rsidRPr="002A5F83">
        <w:rPr>
          <w:rFonts w:ascii="Times New Roman" w:hAnsi="Times New Roman" w:cs="Times New Roman"/>
          <w:sz w:val="24"/>
          <w:szCs w:val="24"/>
        </w:rPr>
        <w:t xml:space="preserve">enacted a multi-level policy space, </w:t>
      </w:r>
      <w:r w:rsidR="00EE5C2D" w:rsidRPr="002A5F83">
        <w:rPr>
          <w:rFonts w:ascii="Times New Roman" w:hAnsi="Times New Roman" w:cs="Times New Roman"/>
          <w:sz w:val="24"/>
          <w:szCs w:val="24"/>
        </w:rPr>
        <w:t>with</w:t>
      </w:r>
      <w:r w:rsidRPr="002A5F83">
        <w:rPr>
          <w:rFonts w:ascii="Times New Roman" w:hAnsi="Times New Roman" w:cs="Times New Roman"/>
          <w:sz w:val="24"/>
          <w:szCs w:val="24"/>
        </w:rPr>
        <w:t xml:space="preserve"> policy opportunities aris</w:t>
      </w:r>
      <w:r w:rsidR="00EE5C2D" w:rsidRPr="002A5F83">
        <w:rPr>
          <w:rFonts w:ascii="Times New Roman" w:hAnsi="Times New Roman" w:cs="Times New Roman"/>
          <w:sz w:val="24"/>
          <w:szCs w:val="24"/>
        </w:rPr>
        <w:t>ing</w:t>
      </w:r>
      <w:r w:rsidRPr="002A5F83">
        <w:rPr>
          <w:rFonts w:ascii="Times New Roman" w:hAnsi="Times New Roman" w:cs="Times New Roman"/>
          <w:sz w:val="24"/>
          <w:szCs w:val="24"/>
        </w:rPr>
        <w:t xml:space="preserve"> for specialist,</w:t>
      </w:r>
      <w:r w:rsidR="00EE5C2D" w:rsidRPr="002A5F83">
        <w:rPr>
          <w:rFonts w:ascii="Times New Roman" w:hAnsi="Times New Roman" w:cs="Times New Roman"/>
          <w:sz w:val="24"/>
          <w:szCs w:val="24"/>
        </w:rPr>
        <w:t xml:space="preserve"> </w:t>
      </w:r>
      <w:r w:rsidRPr="002A5F83">
        <w:rPr>
          <w:rFonts w:ascii="Times New Roman" w:hAnsi="Times New Roman" w:cs="Times New Roman"/>
          <w:sz w:val="24"/>
          <w:szCs w:val="24"/>
        </w:rPr>
        <w:t>type II governance actors who support the European Commission in implementing</w:t>
      </w:r>
      <w:r w:rsidR="00EE5C2D" w:rsidRPr="002A5F83">
        <w:rPr>
          <w:rFonts w:ascii="Times New Roman" w:hAnsi="Times New Roman" w:cs="Times New Roman"/>
          <w:sz w:val="24"/>
          <w:szCs w:val="24"/>
        </w:rPr>
        <w:t xml:space="preserve"> </w:t>
      </w:r>
      <w:r w:rsidRPr="002A5F83">
        <w:rPr>
          <w:rFonts w:ascii="Times New Roman" w:hAnsi="Times New Roman" w:cs="Times New Roman"/>
          <w:sz w:val="24"/>
          <w:szCs w:val="24"/>
        </w:rPr>
        <w:t>policies.</w:t>
      </w:r>
    </w:p>
    <w:p w:rsidR="00EE5C2D"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 xml:space="preserve">Decisively, </w:t>
      </w:r>
      <w:r w:rsidR="00CD72C5" w:rsidRPr="002A5F83">
        <w:rPr>
          <w:rFonts w:ascii="Times New Roman" w:hAnsi="Times New Roman" w:cs="Times New Roman"/>
          <w:sz w:val="24"/>
          <w:szCs w:val="24"/>
        </w:rPr>
        <w:t xml:space="preserve">there are relative case studies, included in the article to bring forth a better </w:t>
      </w:r>
      <w:r w:rsidR="006874E8" w:rsidRPr="002A5F83">
        <w:rPr>
          <w:rFonts w:ascii="Times New Roman" w:hAnsi="Times New Roman" w:cs="Times New Roman"/>
          <w:sz w:val="24"/>
          <w:szCs w:val="24"/>
        </w:rPr>
        <w:t xml:space="preserve">presentation </w:t>
      </w:r>
      <w:r w:rsidR="00CD72C5" w:rsidRPr="002A5F83">
        <w:rPr>
          <w:rFonts w:ascii="Times New Roman" w:hAnsi="Times New Roman" w:cs="Times New Roman"/>
          <w:sz w:val="24"/>
          <w:szCs w:val="24"/>
        </w:rPr>
        <w:t xml:space="preserve">on the above claims. The theoretical sampling was conducted on unique CBR cases, </w:t>
      </w:r>
      <w:r w:rsidR="00CD72C5" w:rsidRPr="002A5F83">
        <w:rPr>
          <w:rFonts w:ascii="Times New Roman" w:hAnsi="Times New Roman" w:cs="Times New Roman"/>
          <w:sz w:val="24"/>
          <w:szCs w:val="24"/>
        </w:rPr>
        <w:lastRenderedPageBreak/>
        <w:t xml:space="preserve">which have predictable differences, highlighting themes within the theory. Additionally, </w:t>
      </w:r>
      <w:r w:rsidR="006874E8" w:rsidRPr="002A5F83">
        <w:rPr>
          <w:rFonts w:ascii="Times New Roman" w:hAnsi="Times New Roman" w:cs="Times New Roman"/>
          <w:sz w:val="24"/>
          <w:szCs w:val="24"/>
        </w:rPr>
        <w:t xml:space="preserve">the author adds prior knowledge from his previous studies within the context to bring out variations of certain CBR’s and in relation to the construct of policy entrepreneurship. The specific CBR’s to compare are EUREGIO, Pro Europa </w:t>
      </w:r>
      <w:proofErr w:type="spellStart"/>
      <w:r w:rsidR="006874E8" w:rsidRPr="002A5F83">
        <w:rPr>
          <w:rFonts w:ascii="Times New Roman" w:hAnsi="Times New Roman" w:cs="Times New Roman"/>
          <w:sz w:val="24"/>
          <w:szCs w:val="24"/>
        </w:rPr>
        <w:t>Viadrina</w:t>
      </w:r>
      <w:proofErr w:type="spellEnd"/>
      <w:r w:rsidR="006874E8" w:rsidRPr="002A5F83">
        <w:rPr>
          <w:rFonts w:ascii="Times New Roman" w:hAnsi="Times New Roman" w:cs="Times New Roman"/>
          <w:sz w:val="24"/>
          <w:szCs w:val="24"/>
        </w:rPr>
        <w:t xml:space="preserve">, and </w:t>
      </w:r>
      <w:proofErr w:type="spellStart"/>
      <w:r w:rsidR="006874E8" w:rsidRPr="002A5F83">
        <w:rPr>
          <w:rFonts w:ascii="Times New Roman" w:hAnsi="Times New Roman" w:cs="Times New Roman"/>
          <w:sz w:val="24"/>
          <w:szCs w:val="24"/>
        </w:rPr>
        <w:t>Europaregion</w:t>
      </w:r>
      <w:proofErr w:type="spellEnd"/>
      <w:r w:rsidR="006874E8" w:rsidRPr="002A5F83">
        <w:rPr>
          <w:rFonts w:ascii="Times New Roman" w:hAnsi="Times New Roman" w:cs="Times New Roman"/>
          <w:sz w:val="24"/>
          <w:szCs w:val="24"/>
        </w:rPr>
        <w:t xml:space="preserve"> Tyrol.</w:t>
      </w:r>
    </w:p>
    <w:p w:rsidR="00A920A2" w:rsidRPr="002A5F83" w:rsidRDefault="00AD6A33" w:rsidP="002A5F83">
      <w:pPr>
        <w:spacing w:after="0" w:line="480" w:lineRule="auto"/>
        <w:contextualSpacing/>
        <w:jc w:val="center"/>
        <w:rPr>
          <w:rFonts w:ascii="Times New Roman" w:hAnsi="Times New Roman" w:cs="Times New Roman"/>
          <w:b/>
          <w:sz w:val="24"/>
          <w:szCs w:val="24"/>
        </w:rPr>
      </w:pPr>
      <w:r w:rsidRPr="002A5F83">
        <w:rPr>
          <w:rFonts w:ascii="Times New Roman" w:hAnsi="Times New Roman" w:cs="Times New Roman"/>
          <w:b/>
          <w:sz w:val="24"/>
          <w:szCs w:val="24"/>
        </w:rPr>
        <w:t>Methodology</w:t>
      </w:r>
    </w:p>
    <w:p w:rsidR="00706A0B"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Based on the author’s previous knowledge on the three cases, the policy entrepreneurship assured variations</w:t>
      </w:r>
      <w:r w:rsidR="00DC2029" w:rsidRPr="002A5F83">
        <w:rPr>
          <w:rFonts w:ascii="Times New Roman" w:hAnsi="Times New Roman" w:cs="Times New Roman"/>
          <w:sz w:val="24"/>
          <w:szCs w:val="24"/>
        </w:rPr>
        <w:t>,</w:t>
      </w:r>
      <w:r w:rsidRPr="002A5F83">
        <w:rPr>
          <w:rFonts w:ascii="Times New Roman" w:hAnsi="Times New Roman" w:cs="Times New Roman"/>
          <w:sz w:val="24"/>
          <w:szCs w:val="24"/>
        </w:rPr>
        <w:t xml:space="preserve"> since the study was conducted from differing </w:t>
      </w:r>
      <w:r w:rsidR="00CF6303" w:rsidRPr="002A5F83">
        <w:rPr>
          <w:rFonts w:ascii="Times New Roman" w:hAnsi="Times New Roman" w:cs="Times New Roman"/>
          <w:sz w:val="24"/>
          <w:szCs w:val="24"/>
        </w:rPr>
        <w:t xml:space="preserve">authoritative participants; local and regional authorities, and the different territorial organization of involved countries. During data collection, the source type was semi-structured interviews and policy documentation from a total of 35 participants from the three cases; EUREGIO, Pro Europa </w:t>
      </w:r>
      <w:proofErr w:type="spellStart"/>
      <w:r w:rsidR="00CF6303" w:rsidRPr="002A5F83">
        <w:rPr>
          <w:rFonts w:ascii="Times New Roman" w:hAnsi="Times New Roman" w:cs="Times New Roman"/>
          <w:sz w:val="24"/>
          <w:szCs w:val="24"/>
        </w:rPr>
        <w:t>Viadrina</w:t>
      </w:r>
      <w:proofErr w:type="spellEnd"/>
      <w:r w:rsidR="00CF6303" w:rsidRPr="002A5F83">
        <w:rPr>
          <w:rFonts w:ascii="Times New Roman" w:hAnsi="Times New Roman" w:cs="Times New Roman"/>
          <w:sz w:val="24"/>
          <w:szCs w:val="24"/>
        </w:rPr>
        <w:t xml:space="preserve">, and </w:t>
      </w:r>
      <w:proofErr w:type="spellStart"/>
      <w:r w:rsidR="00CF6303" w:rsidRPr="002A5F83">
        <w:rPr>
          <w:rFonts w:ascii="Times New Roman" w:hAnsi="Times New Roman" w:cs="Times New Roman"/>
          <w:sz w:val="24"/>
          <w:szCs w:val="24"/>
        </w:rPr>
        <w:t>Europaregion</w:t>
      </w:r>
      <w:proofErr w:type="spellEnd"/>
      <w:r w:rsidR="00CF6303" w:rsidRPr="002A5F83">
        <w:rPr>
          <w:rFonts w:ascii="Times New Roman" w:hAnsi="Times New Roman" w:cs="Times New Roman"/>
          <w:sz w:val="24"/>
          <w:szCs w:val="24"/>
        </w:rPr>
        <w:t xml:space="preserve"> Tyrol.</w:t>
      </w:r>
    </w:p>
    <w:p w:rsidR="00A920A2"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 xml:space="preserve"> Considering bias as a factor, the interviews were made as rational as possible, where the participants were ranging from informants, officials in the cross-border organizations and civil servants at member municipalities, municipal associations, districts, provinces and states working with the cross-border organizations in the Netherlands, Germany, Poland, Austria, and Italy. Additionally, there were 8 interviews gotten from the European Commission and other Brussels based groups. Having completed the interviews (hypothesis was true), the data was compared with what has already been established </w:t>
      </w:r>
      <w:r w:rsidR="00706A0B" w:rsidRPr="002A5F83">
        <w:rPr>
          <w:rFonts w:ascii="Times New Roman" w:hAnsi="Times New Roman" w:cs="Times New Roman"/>
          <w:sz w:val="24"/>
          <w:szCs w:val="24"/>
        </w:rPr>
        <w:t xml:space="preserve">documentations from Europe Commissions, </w:t>
      </w:r>
      <w:proofErr w:type="spellStart"/>
      <w:r w:rsidR="00706A0B" w:rsidRPr="002A5F83">
        <w:rPr>
          <w:rFonts w:ascii="Times New Roman" w:hAnsi="Times New Roman" w:cs="Times New Roman"/>
          <w:sz w:val="24"/>
          <w:szCs w:val="24"/>
        </w:rPr>
        <w:t>Euroregions</w:t>
      </w:r>
      <w:proofErr w:type="spellEnd"/>
      <w:r w:rsidR="00706A0B" w:rsidRPr="002A5F83">
        <w:rPr>
          <w:rFonts w:ascii="Times New Roman" w:hAnsi="Times New Roman" w:cs="Times New Roman"/>
          <w:sz w:val="24"/>
          <w:szCs w:val="24"/>
        </w:rPr>
        <w:t xml:space="preserve"> among other documents from regulatory and policymakers.</w:t>
      </w:r>
      <w:bookmarkStart w:id="0" w:name="_GoBack"/>
      <w:bookmarkEnd w:id="0"/>
    </w:p>
    <w:p w:rsidR="00A920A2" w:rsidRPr="002A5F83" w:rsidRDefault="00AD6A33" w:rsidP="002A5F83">
      <w:pPr>
        <w:spacing w:after="0" w:line="480" w:lineRule="auto"/>
        <w:contextualSpacing/>
        <w:jc w:val="center"/>
        <w:rPr>
          <w:rFonts w:ascii="Times New Roman" w:hAnsi="Times New Roman" w:cs="Times New Roman"/>
          <w:b/>
          <w:sz w:val="24"/>
          <w:szCs w:val="24"/>
        </w:rPr>
      </w:pPr>
      <w:r w:rsidRPr="002A5F83">
        <w:rPr>
          <w:rFonts w:ascii="Times New Roman" w:hAnsi="Times New Roman" w:cs="Times New Roman"/>
          <w:b/>
          <w:sz w:val="24"/>
          <w:szCs w:val="24"/>
        </w:rPr>
        <w:t>Conclusion</w:t>
      </w:r>
    </w:p>
    <w:p w:rsidR="008F0B72" w:rsidRPr="002A5F83" w:rsidRDefault="00AD6A33" w:rsidP="002A5F83">
      <w:pPr>
        <w:spacing w:after="0" w:line="480" w:lineRule="auto"/>
        <w:ind w:firstLine="720"/>
        <w:contextualSpacing/>
        <w:rPr>
          <w:rFonts w:ascii="Times New Roman" w:hAnsi="Times New Roman" w:cs="Times New Roman"/>
          <w:sz w:val="24"/>
          <w:szCs w:val="24"/>
        </w:rPr>
      </w:pPr>
      <w:r w:rsidRPr="002A5F83">
        <w:rPr>
          <w:rFonts w:ascii="Times New Roman" w:hAnsi="Times New Roman" w:cs="Times New Roman"/>
          <w:sz w:val="24"/>
          <w:szCs w:val="24"/>
        </w:rPr>
        <w:t xml:space="preserve">In conclusion, I would applaud the extensive analysis combined with a substantial breakdown of thin demarcation line which conspicuously establishes the difference between genuine and instrumental </w:t>
      </w:r>
      <w:r w:rsidR="00DC2029" w:rsidRPr="002A5F83">
        <w:rPr>
          <w:rFonts w:ascii="Times New Roman" w:hAnsi="Times New Roman" w:cs="Times New Roman"/>
          <w:sz w:val="24"/>
          <w:szCs w:val="24"/>
        </w:rPr>
        <w:t>organizations</w:t>
      </w:r>
      <w:r w:rsidRPr="002A5F83">
        <w:rPr>
          <w:rFonts w:ascii="Times New Roman" w:hAnsi="Times New Roman" w:cs="Times New Roman"/>
          <w:sz w:val="24"/>
          <w:szCs w:val="24"/>
        </w:rPr>
        <w:t xml:space="preserve">. Moreover, the study has consolidated tangible themes; </w:t>
      </w:r>
      <w:r w:rsidRPr="002A5F83">
        <w:rPr>
          <w:rFonts w:ascii="Times New Roman" w:hAnsi="Times New Roman" w:cs="Times New Roman"/>
          <w:sz w:val="24"/>
          <w:szCs w:val="24"/>
        </w:rPr>
        <w:lastRenderedPageBreak/>
        <w:t xml:space="preserve">organization development, resource base, and cross-border activities, that can be used to analyze </w:t>
      </w:r>
      <w:r w:rsidR="00A920A2" w:rsidRPr="002A5F83">
        <w:rPr>
          <w:rFonts w:ascii="Times New Roman" w:hAnsi="Times New Roman" w:cs="Times New Roman"/>
          <w:sz w:val="24"/>
          <w:szCs w:val="24"/>
        </w:rPr>
        <w:t xml:space="preserve">similar scenarios </w:t>
      </w:r>
      <w:r w:rsidRPr="002A5F83">
        <w:rPr>
          <w:rFonts w:ascii="Times New Roman" w:hAnsi="Times New Roman" w:cs="Times New Roman"/>
          <w:sz w:val="24"/>
          <w:szCs w:val="24"/>
        </w:rPr>
        <w:t>chronologically</w:t>
      </w:r>
      <w:r w:rsidR="00A920A2" w:rsidRPr="002A5F83">
        <w:rPr>
          <w:rFonts w:ascii="Times New Roman" w:hAnsi="Times New Roman" w:cs="Times New Roman"/>
          <w:sz w:val="24"/>
          <w:szCs w:val="24"/>
        </w:rPr>
        <w:t xml:space="preserve">. The task from a lay man's view would be difficult to actually internalize differences beyond the physical public relations that most people see and generalize. An example is EUREGIO, which has self-sufficiently gained engagements in policy </w:t>
      </w:r>
      <w:r w:rsidR="002A5F83" w:rsidRPr="002A5F83">
        <w:rPr>
          <w:rFonts w:ascii="Times New Roman" w:hAnsi="Times New Roman" w:cs="Times New Roman"/>
          <w:sz w:val="24"/>
          <w:szCs w:val="24"/>
        </w:rPr>
        <w:t>entrepreneurship;</w:t>
      </w:r>
      <w:r w:rsidR="00A920A2" w:rsidRPr="002A5F83">
        <w:rPr>
          <w:rFonts w:ascii="Times New Roman" w:hAnsi="Times New Roman" w:cs="Times New Roman"/>
          <w:sz w:val="24"/>
          <w:szCs w:val="24"/>
        </w:rPr>
        <w:t xml:space="preserve"> exploited spaces of opportunities related to the cross-border theme and built organizational competence in cross-border policies.</w:t>
      </w: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801913" w:rsidRDefault="00801913" w:rsidP="00A920A2">
      <w:pPr>
        <w:spacing w:line="480" w:lineRule="auto"/>
        <w:jc w:val="center"/>
        <w:rPr>
          <w:rFonts w:ascii="TimesNewRomanPSMT" w:hAnsi="TimesNewRomanPSMT" w:cs="TimesNewRomanPSMT"/>
          <w:sz w:val="24"/>
          <w:szCs w:val="24"/>
        </w:rPr>
      </w:pPr>
    </w:p>
    <w:p w:rsidR="002A5F83" w:rsidRDefault="002A5F83">
      <w:pPr>
        <w:rPr>
          <w:rFonts w:ascii="TimesNewRomanPSMT" w:hAnsi="TimesNewRomanPSMT" w:cs="TimesNewRomanPSMT"/>
          <w:sz w:val="24"/>
          <w:szCs w:val="24"/>
        </w:rPr>
      </w:pPr>
      <w:r>
        <w:rPr>
          <w:rFonts w:ascii="TimesNewRomanPSMT" w:hAnsi="TimesNewRomanPSMT" w:cs="TimesNewRomanPSMT"/>
          <w:sz w:val="24"/>
          <w:szCs w:val="24"/>
        </w:rPr>
        <w:br w:type="page"/>
      </w:r>
    </w:p>
    <w:p w:rsidR="00A920A2" w:rsidRDefault="00AD6A33" w:rsidP="00A920A2">
      <w:pPr>
        <w:spacing w:line="480" w:lineRule="auto"/>
        <w:jc w:val="center"/>
        <w:rPr>
          <w:rFonts w:ascii="TimesNewRomanPSMT" w:hAnsi="TimesNewRomanPSMT" w:cs="TimesNewRomanPSMT"/>
          <w:sz w:val="24"/>
          <w:szCs w:val="24"/>
        </w:rPr>
      </w:pPr>
      <w:r w:rsidRPr="00A920A2">
        <w:rPr>
          <w:rFonts w:ascii="TimesNewRomanPSMT" w:hAnsi="TimesNewRomanPSMT" w:cs="TimesNewRomanPSMT"/>
          <w:sz w:val="24"/>
          <w:szCs w:val="24"/>
        </w:rPr>
        <w:lastRenderedPageBreak/>
        <w:t>References</w:t>
      </w:r>
    </w:p>
    <w:p w:rsidR="00A920A2" w:rsidRPr="00A920A2" w:rsidRDefault="00AD6A33" w:rsidP="002A5F83">
      <w:pPr>
        <w:spacing w:line="480" w:lineRule="auto"/>
        <w:ind w:left="720" w:hanging="720"/>
        <w:rPr>
          <w:rFonts w:ascii="Times New Roman" w:hAnsi="Times New Roman" w:cs="Times New Roman"/>
          <w:sz w:val="24"/>
          <w:szCs w:val="24"/>
        </w:rPr>
      </w:pPr>
      <w:r w:rsidRPr="00801913">
        <w:rPr>
          <w:rFonts w:ascii="Times New Roman" w:hAnsi="Times New Roman" w:cs="Times New Roman"/>
          <w:sz w:val="24"/>
          <w:szCs w:val="24"/>
        </w:rPr>
        <w:t xml:space="preserve">Perkmann, M. (2007). Policy Entrepreneurship and Multilevel Governance: A Comparative Study of European Cross-Border Regions. Environment and Planning C: Government and Policy, 25(6), 861–879. </w:t>
      </w:r>
      <w:r w:rsidR="002A5F83">
        <w:rPr>
          <w:rFonts w:ascii="Times New Roman" w:hAnsi="Times New Roman" w:cs="Times New Roman"/>
          <w:sz w:val="24"/>
          <w:szCs w:val="24"/>
        </w:rPr>
        <w:t xml:space="preserve"> </w:t>
      </w:r>
      <w:hyperlink r:id="rId7" w:history="1">
        <w:r w:rsidRPr="006B7F35">
          <w:rPr>
            <w:rStyle w:val="Hyperlink"/>
            <w:rFonts w:ascii="Times New Roman" w:hAnsi="Times New Roman" w:cs="Times New Roman"/>
            <w:sz w:val="24"/>
            <w:szCs w:val="24"/>
          </w:rPr>
          <w:t>https://doi.org/10.1068/c60m</w:t>
        </w:r>
      </w:hyperlink>
    </w:p>
    <w:sectPr w:rsidR="00A920A2" w:rsidRPr="00A920A2" w:rsidSect="008F0B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16C" w:rsidRDefault="00F8016C">
      <w:pPr>
        <w:spacing w:after="0" w:line="240" w:lineRule="auto"/>
      </w:pPr>
      <w:r>
        <w:separator/>
      </w:r>
    </w:p>
  </w:endnote>
  <w:endnote w:type="continuationSeparator" w:id="0">
    <w:p w:rsidR="00F8016C" w:rsidRDefault="00F8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16C" w:rsidRDefault="00F8016C">
      <w:pPr>
        <w:spacing w:after="0" w:line="240" w:lineRule="auto"/>
      </w:pPr>
      <w:r>
        <w:separator/>
      </w:r>
    </w:p>
  </w:footnote>
  <w:footnote w:type="continuationSeparator" w:id="0">
    <w:p w:rsidR="00F8016C" w:rsidRDefault="00F80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B72" w:rsidRPr="008F0B72" w:rsidRDefault="002A5F83" w:rsidP="002A5F83">
    <w:pPr>
      <w:tabs>
        <w:tab w:val="left" w:pos="720"/>
        <w:tab w:val="left" w:pos="1440"/>
        <w:tab w:val="left" w:pos="2160"/>
        <w:tab w:val="left" w:pos="2880"/>
        <w:tab w:val="left" w:pos="3600"/>
        <w:tab w:val="left" w:pos="4320"/>
        <w:tab w:val="right" w:pos="9360"/>
      </w:tabs>
      <w:spacing w:after="0" w:line="480" w:lineRule="auto"/>
      <w:contextualSpacing/>
      <w:rPr>
        <w:rFonts w:ascii="Times New Roman" w:hAnsi="Times New Roman" w:cs="Times New Roman"/>
        <w:sz w:val="24"/>
        <w:szCs w:val="24"/>
      </w:rPr>
    </w:pPr>
    <w:r w:rsidRPr="008F0B72">
      <w:rPr>
        <w:rFonts w:ascii="Times New Roman" w:hAnsi="Times New Roman" w:cs="Times New Roman"/>
        <w:sz w:val="24"/>
        <w:szCs w:val="24"/>
      </w:rPr>
      <w:t>REFLECTION PAPER</w:t>
    </w:r>
    <w:r w:rsidR="00AD6A33">
      <w:rPr>
        <w:rFonts w:ascii="Times New Roman" w:hAnsi="Times New Roman" w:cs="Times New Roman"/>
        <w:sz w:val="24"/>
        <w:szCs w:val="24"/>
      </w:rPr>
      <w:tab/>
    </w:r>
    <w:r w:rsidR="00AD6A33">
      <w:rPr>
        <w:rFonts w:ascii="Times New Roman" w:hAnsi="Times New Roman" w:cs="Times New Roman"/>
        <w:sz w:val="24"/>
        <w:szCs w:val="24"/>
      </w:rPr>
      <w:tab/>
    </w:r>
    <w:r w:rsidR="00AD6A3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B72" w:rsidRPr="008F0B72" w:rsidRDefault="00AD6A33" w:rsidP="008F0B72">
    <w:pPr>
      <w:pStyle w:val="Header"/>
      <w:rPr>
        <w:rFonts w:ascii="Times New Roman" w:hAnsi="Times New Roman" w:cs="Times New Roman"/>
        <w:sz w:val="24"/>
        <w:szCs w:val="24"/>
      </w:rPr>
    </w:pPr>
    <w:r w:rsidRPr="008F0B72">
      <w:rPr>
        <w:rFonts w:ascii="Times New Roman" w:hAnsi="Times New Roman" w:cs="Times New Roman"/>
        <w:sz w:val="24"/>
        <w:szCs w:val="24"/>
      </w:rPr>
      <w:t xml:space="preserve">Running head: </w:t>
    </w:r>
    <w:r w:rsidR="002A5F83" w:rsidRPr="008F0B72">
      <w:rPr>
        <w:rFonts w:ascii="Times New Roman" w:hAnsi="Times New Roman" w:cs="Times New Roman"/>
        <w:sz w:val="24"/>
        <w:szCs w:val="24"/>
      </w:rPr>
      <w:t>REFLECTION PAPER</w:t>
    </w:r>
    <w:r w:rsidRPr="008F0B72">
      <w:rPr>
        <w:rFonts w:ascii="Times New Roman" w:hAnsi="Times New Roman" w:cs="Times New Roman"/>
        <w:sz w:val="24"/>
        <w:szCs w:val="24"/>
      </w:rPr>
      <w:tab/>
    </w:r>
    <w:r w:rsidRPr="008F0B72">
      <w:rPr>
        <w:rFonts w:ascii="Times New Roman" w:hAnsi="Times New Roman" w:cs="Times New Roman"/>
        <w:sz w:val="24"/>
        <w:szCs w:val="24"/>
      </w:rPr>
      <w:tab/>
    </w:r>
    <w:r w:rsidRPr="008F0B72">
      <w:rPr>
        <w:rFonts w:ascii="Times New Roman" w:hAnsi="Times New Roman" w:cs="Times New Roman"/>
        <w:sz w:val="24"/>
        <w:szCs w:val="24"/>
      </w:rPr>
      <w:fldChar w:fldCharType="begin"/>
    </w:r>
    <w:r w:rsidRPr="008F0B72">
      <w:rPr>
        <w:rFonts w:ascii="Times New Roman" w:hAnsi="Times New Roman" w:cs="Times New Roman"/>
        <w:sz w:val="24"/>
        <w:szCs w:val="24"/>
      </w:rPr>
      <w:instrText xml:space="preserve"> PAGE   \* MERGEFORMAT </w:instrText>
    </w:r>
    <w:r w:rsidRPr="008F0B72">
      <w:rPr>
        <w:rFonts w:ascii="Times New Roman" w:hAnsi="Times New Roman" w:cs="Times New Roman"/>
        <w:sz w:val="24"/>
        <w:szCs w:val="24"/>
      </w:rPr>
      <w:fldChar w:fldCharType="separate"/>
    </w:r>
    <w:r w:rsidR="002A5F83">
      <w:rPr>
        <w:rFonts w:ascii="Times New Roman" w:hAnsi="Times New Roman" w:cs="Times New Roman"/>
        <w:noProof/>
        <w:sz w:val="24"/>
        <w:szCs w:val="24"/>
      </w:rPr>
      <w:t>1</w:t>
    </w:r>
    <w:r w:rsidRPr="008F0B72">
      <w:rPr>
        <w:rFonts w:ascii="Times New Roman" w:hAnsi="Times New Roman" w:cs="Times New Roman"/>
        <w:noProof/>
        <w:sz w:val="24"/>
        <w:szCs w:val="24"/>
      </w:rPr>
      <w:fldChar w:fldCharType="end"/>
    </w:r>
  </w:p>
  <w:p w:rsidR="008F0B72" w:rsidRDefault="008F0B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2BGILc3MTcyNTMyUdpeDU4uLM/DyQAsNaANKy60MsAAAA"/>
  </w:docVars>
  <w:rsids>
    <w:rsidRoot w:val="008F0B72"/>
    <w:rsid w:val="00195630"/>
    <w:rsid w:val="001C6BD0"/>
    <w:rsid w:val="00203719"/>
    <w:rsid w:val="002A5F83"/>
    <w:rsid w:val="002B1C6E"/>
    <w:rsid w:val="002E7761"/>
    <w:rsid w:val="0035712D"/>
    <w:rsid w:val="00492826"/>
    <w:rsid w:val="00617DD5"/>
    <w:rsid w:val="006674EF"/>
    <w:rsid w:val="006874E8"/>
    <w:rsid w:val="006B7F35"/>
    <w:rsid w:val="00706A0B"/>
    <w:rsid w:val="007351CB"/>
    <w:rsid w:val="00801913"/>
    <w:rsid w:val="008F0B72"/>
    <w:rsid w:val="00960D43"/>
    <w:rsid w:val="00A42991"/>
    <w:rsid w:val="00A920A2"/>
    <w:rsid w:val="00AA101D"/>
    <w:rsid w:val="00AD6A33"/>
    <w:rsid w:val="00CD72C5"/>
    <w:rsid w:val="00CF6303"/>
    <w:rsid w:val="00DC2029"/>
    <w:rsid w:val="00EE5C2D"/>
    <w:rsid w:val="00F80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B72"/>
  </w:style>
  <w:style w:type="paragraph" w:styleId="Footer">
    <w:name w:val="footer"/>
    <w:basedOn w:val="Normal"/>
    <w:link w:val="FooterChar"/>
    <w:uiPriority w:val="99"/>
    <w:unhideWhenUsed/>
    <w:rsid w:val="008F0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B72"/>
  </w:style>
  <w:style w:type="character" w:styleId="Hyperlink">
    <w:name w:val="Hyperlink"/>
    <w:basedOn w:val="DefaultParagraphFont"/>
    <w:uiPriority w:val="99"/>
    <w:unhideWhenUsed/>
    <w:rsid w:val="0080191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B72"/>
  </w:style>
  <w:style w:type="paragraph" w:styleId="Footer">
    <w:name w:val="footer"/>
    <w:basedOn w:val="Normal"/>
    <w:link w:val="FooterChar"/>
    <w:uiPriority w:val="99"/>
    <w:unhideWhenUsed/>
    <w:rsid w:val="008F0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B72"/>
  </w:style>
  <w:style w:type="character" w:styleId="Hyperlink">
    <w:name w:val="Hyperlink"/>
    <w:basedOn w:val="DefaultParagraphFont"/>
    <w:uiPriority w:val="99"/>
    <w:unhideWhenUsed/>
    <w:rsid w:val="008019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68/c60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2018-12-04T12:11:00Z</dcterms:created>
  <dcterms:modified xsi:type="dcterms:W3CDTF">2018-12-04T12:11:00Z</dcterms:modified>
</cp:coreProperties>
</file>